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39480"/>
      <w:bookmarkEnd w:id="0"/>
      <w:bookmarkStart w:id="1" w:name="_Hlt448930105"/>
      <w:bookmarkEnd w:id="1"/>
      <w:bookmarkStart w:id="2" w:name="_Hlt450051172"/>
      <w:bookmarkEnd w:id="2"/>
      <w:bookmarkStart w:id="3" w:name="_Hlt450066085"/>
      <w:bookmarkEnd w:id="3"/>
      <w:bookmarkStart w:id="4" w:name="_Hlt450066087"/>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90Bis</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903564</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Xi</w:t>
      </w:r>
      <w:r>
        <w:rPr>
          <w:rFonts w:hint="default" w:ascii="Arial" w:hAnsi="Arial"/>
          <w:b/>
          <w:sz w:val="24"/>
          <w:szCs w:val="24"/>
          <w:lang w:val="en-US" w:eastAsia="zh-CN"/>
        </w:rPr>
        <w:t>’</w:t>
      </w:r>
      <w:r>
        <w:rPr>
          <w:rFonts w:hint="eastAsia" w:ascii="Arial" w:hAnsi="Arial"/>
          <w:b/>
          <w:sz w:val="24"/>
          <w:szCs w:val="24"/>
          <w:lang w:val="en-US" w:eastAsia="zh-CN"/>
        </w:rPr>
        <w:t>an</w:t>
      </w:r>
      <w:r>
        <w:rPr>
          <w:rFonts w:hint="eastAsia" w:ascii="Arial" w:hAnsi="Arial" w:eastAsia="宋体"/>
          <w:b/>
          <w:sz w:val="24"/>
          <w:szCs w:val="24"/>
          <w:lang w:eastAsia="zh-CN"/>
        </w:rPr>
        <w:t xml:space="preserve">, </w:t>
      </w:r>
      <w:r>
        <w:rPr>
          <w:rFonts w:hint="eastAsia" w:ascii="Arial" w:hAnsi="Arial"/>
          <w:b/>
          <w:sz w:val="24"/>
          <w:szCs w:val="24"/>
          <w:lang w:val="en-US" w:eastAsia="zh-CN"/>
        </w:rPr>
        <w:t>China</w:t>
      </w:r>
      <w:r>
        <w:rPr>
          <w:rFonts w:ascii="Arial" w:hAnsi="Arial" w:eastAsia="宋体"/>
          <w:b/>
          <w:sz w:val="24"/>
          <w:szCs w:val="24"/>
          <w:lang w:eastAsia="zh-CN"/>
        </w:rPr>
        <w:t xml:space="preserve">, </w:t>
      </w:r>
      <w:r>
        <w:rPr>
          <w:rFonts w:hint="eastAsia" w:ascii="Arial" w:hAnsi="Arial"/>
          <w:b/>
          <w:sz w:val="24"/>
          <w:szCs w:val="24"/>
          <w:lang w:val="en-US" w:eastAsia="zh-CN"/>
        </w:rPr>
        <w:t>8</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EMC requirements for 7-24GHz</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lang w:val="en-US" w:eastAsia="zh-CN"/>
        </w:rPr>
        <w:t>10.4.5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lang w:val="en-US" w:eastAsia="zh-CN"/>
        </w:rPr>
      </w:pPr>
      <w:r>
        <w:rPr>
          <w:rFonts w:hint="eastAsia"/>
          <w:lang w:val="en-US" w:eastAsia="zh-CN"/>
        </w:rPr>
        <w:t xml:space="preserve">It was agreed to study the </w:t>
      </w:r>
      <w:r>
        <w:rPr>
          <w:rFonts w:hint="default"/>
          <w:lang w:val="en-US" w:eastAsia="zh-CN"/>
        </w:rPr>
        <w:t>“</w:t>
      </w:r>
      <w:r>
        <w:rPr>
          <w:i/>
          <w:iCs/>
          <w:szCs w:val="18"/>
        </w:rPr>
        <w:t>EMC: discussion on EMC requirements impact</w:t>
      </w:r>
      <w:r>
        <w:rPr>
          <w:rFonts w:hint="default"/>
          <w:lang w:val="en-US" w:eastAsia="zh-CN"/>
        </w:rPr>
        <w:t>”</w:t>
      </w:r>
      <w:r>
        <w:rPr>
          <w:rFonts w:hint="eastAsia"/>
          <w:lang w:val="en-US" w:eastAsia="zh-CN"/>
        </w:rPr>
        <w:t xml:space="preserve"> in the work plan[1] for the study item 7-24GHz  in RAN4#90 meeting. Hence in this contribution, we give some analysis on EMC requirements for 7-24GHz.</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 xml:space="preserve">Usually EMC requirements can be divided into two different kinds as immunity requirements and emission requirements. Here we would like to discuss them separately. </w:t>
      </w:r>
    </w:p>
    <w:p>
      <w:pPr>
        <w:pStyle w:val="3"/>
        <w:bidi w:val="0"/>
        <w:rPr>
          <w:rFonts w:hint="eastAsia"/>
          <w:lang w:val="en-US" w:eastAsia="zh-CN"/>
        </w:rPr>
      </w:pPr>
      <w:r>
        <w:rPr>
          <w:rFonts w:hint="eastAsia"/>
          <w:lang w:val="en-US" w:eastAsia="zh-CN"/>
        </w:rPr>
        <w:t>Emission requirements:</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The applicability table of current TS 38.113[2] is shown as following:</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eastAsia="宋体"/>
          <w:lang w:val="en-US" w:eastAsia="zh-CN"/>
        </w:rPr>
      </w:pPr>
      <w:r>
        <w:rPr>
          <w:rFonts w:hint="eastAsia"/>
          <w:lang w:val="en-US" w:eastAsia="zh-CN"/>
        </w:rPr>
        <w:t xml:space="preserve">Table 1: </w:t>
      </w:r>
      <w:r>
        <w:rPr>
          <w:lang w:eastAsia="en-GB"/>
        </w:rPr>
        <w:t>Emission requirements applicabilit</w:t>
      </w:r>
      <w:r>
        <w:rPr>
          <w:rFonts w:hint="eastAsia"/>
          <w:lang w:val="en-US" w:eastAsia="zh-CN"/>
        </w:rPr>
        <w:t>y</w:t>
      </w:r>
    </w:p>
    <w:tbl>
      <w:tblPr>
        <w:tblStyle w:val="52"/>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restart"/>
            <w:vAlign w:val="center"/>
          </w:tcPr>
          <w:p>
            <w:pPr>
              <w:pStyle w:val="62"/>
              <w:rPr>
                <w:lang w:eastAsia="en-GB"/>
              </w:rPr>
            </w:pPr>
            <w:r>
              <w:rPr>
                <w:lang w:eastAsia="en-GB"/>
              </w:rPr>
              <w:t>Phenomenon</w:t>
            </w:r>
          </w:p>
        </w:tc>
        <w:tc>
          <w:tcPr>
            <w:tcW w:w="1726" w:type="dxa"/>
            <w:vMerge w:val="restart"/>
            <w:vAlign w:val="center"/>
          </w:tcPr>
          <w:p>
            <w:pPr>
              <w:pStyle w:val="62"/>
              <w:rPr>
                <w:lang w:eastAsia="en-GB"/>
              </w:rPr>
            </w:pPr>
            <w:r>
              <w:rPr>
                <w:lang w:eastAsia="en-GB"/>
              </w:rPr>
              <w:t>Application</w:t>
            </w:r>
          </w:p>
        </w:tc>
        <w:tc>
          <w:tcPr>
            <w:tcW w:w="2162" w:type="dxa"/>
            <w:gridSpan w:val="2"/>
            <w:vAlign w:val="center"/>
          </w:tcPr>
          <w:p>
            <w:pPr>
              <w:pStyle w:val="62"/>
              <w:rPr>
                <w:lang w:eastAsia="en-GB"/>
              </w:rPr>
            </w:pPr>
            <w:r>
              <w:rPr>
                <w:lang w:eastAsia="en-GB"/>
              </w:rPr>
              <w:t>Equipment test requirement</w:t>
            </w:r>
          </w:p>
        </w:tc>
        <w:tc>
          <w:tcPr>
            <w:tcW w:w="1131" w:type="dxa"/>
            <w:vMerge w:val="restart"/>
            <w:vAlign w:val="center"/>
          </w:tcPr>
          <w:p>
            <w:pPr>
              <w:pStyle w:val="62"/>
              <w:rPr>
                <w:lang w:eastAsia="en-GB"/>
              </w:rPr>
            </w:pPr>
            <w:r>
              <w:rPr>
                <w:lang w:eastAsia="en-GB"/>
              </w:rPr>
              <w:t>Reference</w:t>
            </w:r>
          </w:p>
          <w:p>
            <w:pPr>
              <w:pStyle w:val="62"/>
              <w:rPr>
                <w:lang w:eastAsia="en-GB"/>
              </w:rPr>
            </w:pPr>
            <w:r>
              <w:rPr>
                <w:lang w:eastAsia="en-GB"/>
              </w:rPr>
              <w:t>subclause in the present document</w:t>
            </w:r>
          </w:p>
        </w:tc>
        <w:tc>
          <w:tcPr>
            <w:tcW w:w="3169" w:type="dxa"/>
            <w:vMerge w:val="restart"/>
            <w:vAlign w:val="center"/>
          </w:tcPr>
          <w:p>
            <w:pPr>
              <w:pStyle w:val="62"/>
              <w:rPr>
                <w:lang w:eastAsia="en-GB"/>
              </w:rPr>
            </w:pPr>
            <w:r>
              <w:rPr>
                <w:lang w:eastAsia="en-GB"/>
              </w:rPr>
              <w:t>Reference</w:t>
            </w:r>
          </w:p>
          <w:p>
            <w:pPr>
              <w:pStyle w:val="62"/>
              <w:rPr>
                <w:lang w:eastAsia="en-GB"/>
              </w:rPr>
            </w:pPr>
            <w:r>
              <w:rPr>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continue"/>
            <w:vAlign w:val="center"/>
          </w:tcPr>
          <w:p>
            <w:pPr>
              <w:pStyle w:val="62"/>
              <w:rPr>
                <w:lang w:eastAsia="en-GB"/>
              </w:rPr>
            </w:pPr>
          </w:p>
        </w:tc>
        <w:tc>
          <w:tcPr>
            <w:tcW w:w="1726" w:type="dxa"/>
            <w:vMerge w:val="continue"/>
            <w:vAlign w:val="center"/>
          </w:tcPr>
          <w:p>
            <w:pPr>
              <w:pStyle w:val="62"/>
              <w:rPr>
                <w:lang w:eastAsia="en-GB"/>
              </w:rPr>
            </w:pPr>
          </w:p>
        </w:tc>
        <w:tc>
          <w:tcPr>
            <w:tcW w:w="1118" w:type="dxa"/>
            <w:vAlign w:val="center"/>
          </w:tcPr>
          <w:p>
            <w:pPr>
              <w:pStyle w:val="62"/>
              <w:rPr>
                <w:lang w:eastAsia="en-GB"/>
              </w:rPr>
            </w:pPr>
            <w:r>
              <w:rPr>
                <w:lang w:eastAsia="en-GB"/>
              </w:rPr>
              <w:t>BS equipment</w:t>
            </w:r>
          </w:p>
        </w:tc>
        <w:tc>
          <w:tcPr>
            <w:tcW w:w="1044" w:type="dxa"/>
            <w:vAlign w:val="center"/>
          </w:tcPr>
          <w:p>
            <w:pPr>
              <w:pStyle w:val="62"/>
              <w:rPr>
                <w:lang w:eastAsia="en-GB"/>
              </w:rPr>
            </w:pPr>
            <w:r>
              <w:rPr>
                <w:lang w:eastAsia="en-GB"/>
              </w:rPr>
              <w:t>Ancillary equipment</w:t>
            </w:r>
          </w:p>
        </w:tc>
        <w:tc>
          <w:tcPr>
            <w:tcW w:w="1131" w:type="dxa"/>
            <w:vMerge w:val="continue"/>
            <w:vAlign w:val="center"/>
          </w:tcPr>
          <w:p>
            <w:pPr>
              <w:pStyle w:val="62"/>
              <w:rPr>
                <w:lang w:eastAsia="en-GB"/>
              </w:rPr>
            </w:pPr>
          </w:p>
        </w:tc>
        <w:tc>
          <w:tcPr>
            <w:tcW w:w="3169" w:type="dxa"/>
            <w:vMerge w:val="continue"/>
            <w:vAlign w:val="center"/>
          </w:tcPr>
          <w:p>
            <w:pPr>
              <w:pStyle w:val="62"/>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val="en-US" w:eastAsia="zh-CN"/>
              </w:rPr>
            </w:pPr>
            <w:r>
              <w:rPr>
                <w:rFonts w:hint="eastAsia"/>
                <w:lang w:val="en-US" w:eastAsia="zh-CN"/>
              </w:rPr>
              <w:t>Radiated emission</w:t>
            </w:r>
          </w:p>
        </w:tc>
        <w:tc>
          <w:tcPr>
            <w:tcW w:w="1726" w:type="dxa"/>
            <w:vAlign w:val="top"/>
          </w:tcPr>
          <w:p>
            <w:pPr>
              <w:pStyle w:val="63"/>
              <w:rPr>
                <w:lang w:val="en-US" w:eastAsia="zh-CN"/>
              </w:rPr>
            </w:pPr>
            <w:r>
              <w:rPr>
                <w:rFonts w:hint="eastAsia"/>
                <w:lang w:val="en-US" w:eastAsia="zh-CN"/>
              </w:rPr>
              <w:t>Enclosure</w:t>
            </w:r>
          </w:p>
        </w:tc>
        <w:tc>
          <w:tcPr>
            <w:tcW w:w="1118" w:type="dxa"/>
            <w:vAlign w:val="top"/>
          </w:tcPr>
          <w:p>
            <w:pPr>
              <w:pStyle w:val="63"/>
              <w:rPr>
                <w:lang w:val="en-US" w:eastAsia="zh-CN"/>
              </w:rPr>
            </w:pPr>
            <w:r>
              <w:rPr>
                <w:rFonts w:hint="eastAsia"/>
                <w:lang w:val="en-US" w:eastAsia="zh-CN"/>
              </w:rPr>
              <w:t xml:space="preserve">applicable for </w:t>
            </w:r>
            <w:r>
              <w:rPr>
                <w:i/>
                <w:iCs/>
                <w:lang w:val="en-US" w:eastAsia="zh-CN"/>
              </w:rPr>
              <w:t>BS type 1-C</w:t>
            </w:r>
            <w:r>
              <w:rPr>
                <w:rFonts w:hint="eastAsia"/>
                <w:lang w:val="en-US" w:eastAsia="zh-CN"/>
              </w:rPr>
              <w:t xml:space="preserve"> and </w:t>
            </w:r>
            <w:r>
              <w:rPr>
                <w:i/>
                <w:iCs/>
                <w:lang w:val="en-US" w:eastAsia="zh-CN"/>
              </w:rPr>
              <w:t>BS type 1-H</w:t>
            </w:r>
          </w:p>
          <w:p>
            <w:pPr>
              <w:pStyle w:val="63"/>
              <w:rPr>
                <w:lang w:val="en-US" w:eastAsia="zh-CN"/>
              </w:rPr>
            </w:pPr>
            <w:r>
              <w:rPr>
                <w:rFonts w:hint="eastAsia"/>
                <w:lang w:val="en-US" w:eastAsia="zh-CN"/>
              </w:rPr>
              <w:t>(Note)</w:t>
            </w:r>
          </w:p>
        </w:tc>
        <w:tc>
          <w:tcPr>
            <w:tcW w:w="1044" w:type="dxa"/>
            <w:vAlign w:val="top"/>
          </w:tcPr>
          <w:p>
            <w:pPr>
              <w:pStyle w:val="63"/>
              <w:rPr>
                <w:lang w:val="en-US" w:eastAsia="zh-CN"/>
              </w:rPr>
            </w:pPr>
            <w:r>
              <w:rPr>
                <w:rFonts w:hint="eastAsia"/>
                <w:lang w:val="en-US" w:eastAsia="zh-CN"/>
              </w:rPr>
              <w:t>not applicable</w:t>
            </w:r>
          </w:p>
        </w:tc>
        <w:tc>
          <w:tcPr>
            <w:tcW w:w="1131" w:type="dxa"/>
            <w:vAlign w:val="top"/>
          </w:tcPr>
          <w:p>
            <w:pPr>
              <w:pStyle w:val="63"/>
              <w:rPr>
                <w:lang w:val="en-US" w:eastAsia="zh-CN"/>
              </w:rPr>
            </w:pPr>
            <w:r>
              <w:rPr>
                <w:rFonts w:hint="eastAsia"/>
                <w:lang w:val="en-US" w:eastAsia="zh-CN"/>
              </w:rPr>
              <w:t>8.2.1</w:t>
            </w:r>
          </w:p>
        </w:tc>
        <w:tc>
          <w:tcPr>
            <w:tcW w:w="3169" w:type="dxa"/>
            <w:vAlign w:val="top"/>
          </w:tcPr>
          <w:p>
            <w:pPr>
              <w:pStyle w:val="63"/>
              <w:rPr>
                <w:lang w:eastAsia="en-GB"/>
              </w:rPr>
            </w:pPr>
            <w:r>
              <w:rPr>
                <w:lang w:eastAsia="en-GB"/>
              </w:rPr>
              <w:t>ITU-R SM.329 [</w:t>
            </w:r>
            <w:r>
              <w:rPr>
                <w:lang w:val="en-US" w:eastAsia="zh-CN"/>
              </w:rPr>
              <w:t>2</w:t>
            </w: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Radiated emission</w:t>
            </w:r>
          </w:p>
        </w:tc>
        <w:tc>
          <w:tcPr>
            <w:tcW w:w="1726" w:type="dxa"/>
            <w:vAlign w:val="top"/>
          </w:tcPr>
          <w:p>
            <w:pPr>
              <w:pStyle w:val="63"/>
              <w:rPr>
                <w:lang w:eastAsia="en-GB"/>
              </w:rPr>
            </w:pPr>
            <w:r>
              <w:rPr>
                <w:lang w:eastAsia="en-GB"/>
              </w:rPr>
              <w:t>Enclosure</w:t>
            </w:r>
            <w:r>
              <w:rPr>
                <w:rFonts w:hint="eastAsia"/>
                <w:lang w:val="en-US" w:eastAsia="zh-CN"/>
              </w:rPr>
              <w:t xml:space="preserve"> of </w:t>
            </w:r>
            <w:r>
              <w:rPr>
                <w:rFonts w:hint="eastAsia"/>
                <w:i/>
                <w:lang w:val="en-US" w:eastAsia="zh-CN"/>
              </w:rPr>
              <w:t>ancillary equipment</w:t>
            </w:r>
          </w:p>
        </w:tc>
        <w:tc>
          <w:tcPr>
            <w:tcW w:w="1118" w:type="dxa"/>
            <w:vAlign w:val="top"/>
          </w:tcPr>
          <w:p>
            <w:pPr>
              <w:pStyle w:val="63"/>
              <w:rPr>
                <w:lang w:val="en-US" w:eastAsia="zh-CN"/>
              </w:rPr>
            </w:pPr>
            <w:r>
              <w:rPr>
                <w:rFonts w:hint="eastAsia"/>
                <w:lang w:val="en-US" w:eastAsia="zh-CN"/>
              </w:rPr>
              <w:t>not 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8.2.2</w:t>
            </w:r>
          </w:p>
        </w:tc>
        <w:tc>
          <w:tcPr>
            <w:tcW w:w="3169" w:type="dxa"/>
            <w:vAlign w:val="top"/>
          </w:tcPr>
          <w:p>
            <w:pPr>
              <w:pStyle w:val="63"/>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lang w:eastAsia="en-GB"/>
              </w:rPr>
            </w:pPr>
            <w:r>
              <w:rPr>
                <w:lang w:eastAsia="en-GB"/>
              </w:rPr>
              <w:t xml:space="preserve">DC power input/output </w:t>
            </w:r>
            <w:r>
              <w:rPr>
                <w:i/>
                <w:iCs/>
                <w:lang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8.3</w:t>
            </w:r>
          </w:p>
        </w:tc>
        <w:tc>
          <w:tcPr>
            <w:tcW w:w="3169" w:type="dxa"/>
            <w:vAlign w:val="top"/>
          </w:tcPr>
          <w:p>
            <w:pPr>
              <w:pStyle w:val="63"/>
              <w:rPr>
                <w:lang w:eastAsia="en-GB"/>
              </w:rPr>
            </w:pPr>
            <w:r>
              <w:rPr>
                <w:lang w:eastAsia="en-GB"/>
              </w:rPr>
              <w:t>CISPR </w:t>
            </w:r>
            <w:r>
              <w:rPr>
                <w:rFonts w:hint="eastAsia"/>
                <w:lang w:val="en-US" w:eastAsia="zh-CN"/>
              </w:rPr>
              <w:t>3</w:t>
            </w:r>
            <w:r>
              <w:rPr>
                <w:lang w:eastAsia="en-GB"/>
              </w:rPr>
              <w:t xml:space="preserve">2 [11], </w:t>
            </w:r>
            <w:r>
              <w:rPr>
                <w:lang w:eastAsia="en-GB"/>
              </w:rPr>
              <w:br w:type="textWrapping"/>
            </w:r>
            <w:r>
              <w:rPr>
                <w:lang w:eastAsia="en-GB"/>
              </w:rPr>
              <w:t>CISPR 16</w:t>
            </w:r>
            <w:r>
              <w:rPr>
                <w:lang w:eastAsia="en-GB"/>
              </w:rPr>
              <w:noBreakHyphen/>
            </w:r>
            <w:r>
              <w:rPr>
                <w:lang w:eastAsia="en-GB"/>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lang w:val="fr-FR" w:eastAsia="en-GB"/>
              </w:rPr>
            </w:pPr>
            <w:r>
              <w:rPr>
                <w:lang w:val="fr-FR" w:eastAsia="en-GB"/>
              </w:rPr>
              <w:t xml:space="preserve">AC mains input/output </w:t>
            </w:r>
            <w:r>
              <w:rPr>
                <w:i/>
                <w:iCs/>
                <w:lang w:val="fr-FR"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8.4</w:t>
            </w:r>
          </w:p>
        </w:tc>
        <w:tc>
          <w:tcPr>
            <w:tcW w:w="3169" w:type="dxa"/>
            <w:vAlign w:val="top"/>
          </w:tcPr>
          <w:p>
            <w:pPr>
              <w:pStyle w:val="63"/>
              <w:rPr>
                <w:lang w:eastAsia="en-GB"/>
              </w:rPr>
            </w:pPr>
            <w:r>
              <w:rPr>
                <w:lang w:eastAsia="en-GB"/>
              </w:rPr>
              <w:t>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396" w:hRule="atLeas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lang w:eastAsia="en-GB"/>
              </w:rPr>
            </w:pPr>
            <w:r>
              <w:rPr>
                <w:rFonts w:hint="eastAsia"/>
                <w:i/>
                <w:iCs/>
                <w:lang w:eastAsia="zh-CN"/>
              </w:rPr>
              <w:t>Telecommunication</w:t>
            </w:r>
            <w:r>
              <w:rPr>
                <w:i/>
                <w:iCs/>
                <w:lang w:eastAsia="en-GB"/>
              </w:rPr>
              <w:t xml:space="preserve"> port</w:t>
            </w:r>
          </w:p>
        </w:tc>
        <w:tc>
          <w:tcPr>
            <w:tcW w:w="1118" w:type="dxa"/>
            <w:vAlign w:val="top"/>
          </w:tcPr>
          <w:p>
            <w:pPr>
              <w:pStyle w:val="63"/>
              <w:rPr>
                <w:lang w:eastAsia="en-GB"/>
              </w:rPr>
            </w:pPr>
            <w:r>
              <w:rPr>
                <w:lang w:eastAsia="en-GB"/>
              </w:rPr>
              <w:t>applicable</w:t>
            </w:r>
            <w:r>
              <w:rPr>
                <w:lang w:eastAsia="en-GB"/>
              </w:rPr>
              <w:br w:type="textWrapping"/>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w:t>
            </w:r>
            <w:r>
              <w:rPr>
                <w:rFonts w:hint="eastAsia"/>
                <w:lang w:val="en-US" w:eastAsia="zh-CN"/>
              </w:rPr>
              <w:t>5</w:t>
            </w:r>
          </w:p>
        </w:tc>
        <w:tc>
          <w:tcPr>
            <w:tcW w:w="3169" w:type="dxa"/>
            <w:vAlign w:val="top"/>
          </w:tcPr>
          <w:p>
            <w:pPr>
              <w:pStyle w:val="63"/>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Harmonic current emissions</w:t>
            </w:r>
          </w:p>
        </w:tc>
        <w:tc>
          <w:tcPr>
            <w:tcW w:w="1726" w:type="dxa"/>
            <w:vAlign w:val="top"/>
          </w:tcPr>
          <w:p>
            <w:pPr>
              <w:pStyle w:val="63"/>
              <w:rPr>
                <w:lang w:eastAsia="en-GB"/>
              </w:rPr>
            </w:pPr>
            <w:r>
              <w:rPr>
                <w:lang w:eastAsia="en-GB"/>
              </w:rPr>
              <w:t xml:space="preserve">AC mains input </w:t>
            </w:r>
            <w:r>
              <w:rPr>
                <w:i/>
                <w:iCs/>
                <w:lang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 xml:space="preserve"> applicable</w:t>
            </w:r>
          </w:p>
        </w:tc>
        <w:tc>
          <w:tcPr>
            <w:tcW w:w="1131" w:type="dxa"/>
            <w:vAlign w:val="top"/>
          </w:tcPr>
          <w:p>
            <w:pPr>
              <w:pStyle w:val="63"/>
              <w:rPr>
                <w:lang w:eastAsia="en-GB"/>
              </w:rPr>
            </w:pPr>
            <w:r>
              <w:rPr>
                <w:lang w:eastAsia="en-GB"/>
              </w:rPr>
              <w:t>8.</w:t>
            </w:r>
            <w:r>
              <w:rPr>
                <w:rFonts w:hint="eastAsia"/>
                <w:lang w:val="en-US" w:eastAsia="zh-CN"/>
              </w:rPr>
              <w:t>6</w:t>
            </w:r>
          </w:p>
        </w:tc>
        <w:tc>
          <w:tcPr>
            <w:tcW w:w="3169" w:type="dxa"/>
            <w:vAlign w:val="top"/>
          </w:tcPr>
          <w:p>
            <w:pPr>
              <w:pStyle w:val="63"/>
              <w:rPr>
                <w:lang w:eastAsia="en-GB"/>
              </w:rPr>
            </w:pPr>
            <w:r>
              <w:rPr>
                <w:lang w:eastAsia="en-GB"/>
              </w:rPr>
              <w:t>IEC 61000-3-2 [13] or</w:t>
            </w:r>
            <w:r>
              <w:rPr>
                <w:lang w:eastAsia="en-GB"/>
              </w:rPr>
              <w:br w:type="textWrapping"/>
            </w:r>
            <w:r>
              <w:rPr>
                <w:lang w:eastAsia="en-GB"/>
              </w:rPr>
              <w:t xml:space="preserve"> IEC 61000-3-12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643" w:hRule="atLeast"/>
          <w:jc w:val="center"/>
        </w:trPr>
        <w:tc>
          <w:tcPr>
            <w:tcW w:w="1669" w:type="dxa"/>
            <w:vAlign w:val="top"/>
          </w:tcPr>
          <w:p>
            <w:pPr>
              <w:pStyle w:val="63"/>
              <w:rPr>
                <w:lang w:eastAsia="en-GB"/>
              </w:rPr>
            </w:pPr>
            <w:r>
              <w:rPr>
                <w:lang w:eastAsia="en-GB"/>
              </w:rPr>
              <w:t>Voltage fluctuations and flicker</w:t>
            </w:r>
          </w:p>
        </w:tc>
        <w:tc>
          <w:tcPr>
            <w:tcW w:w="1726" w:type="dxa"/>
            <w:vAlign w:val="top"/>
          </w:tcPr>
          <w:p>
            <w:pPr>
              <w:pStyle w:val="63"/>
              <w:rPr>
                <w:lang w:eastAsia="en-GB"/>
              </w:rPr>
            </w:pPr>
            <w:r>
              <w:rPr>
                <w:lang w:eastAsia="en-GB"/>
              </w:rPr>
              <w:t xml:space="preserve">AC mains input </w:t>
            </w:r>
            <w:r>
              <w:rPr>
                <w:i/>
                <w:iCs/>
                <w:lang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w:t>
            </w:r>
            <w:r>
              <w:rPr>
                <w:rFonts w:hint="eastAsia"/>
                <w:lang w:val="en-US" w:eastAsia="zh-CN"/>
              </w:rPr>
              <w:t>7</w:t>
            </w:r>
          </w:p>
        </w:tc>
        <w:tc>
          <w:tcPr>
            <w:tcW w:w="3169" w:type="dxa"/>
            <w:vAlign w:val="top"/>
          </w:tcPr>
          <w:p>
            <w:pPr>
              <w:pStyle w:val="63"/>
              <w:rPr>
                <w:lang w:eastAsia="en-GB"/>
              </w:rPr>
            </w:pPr>
            <w:r>
              <w:rPr>
                <w:lang w:eastAsia="en-GB"/>
              </w:rPr>
              <w:t xml:space="preserve">IEC 61000-3-3 [15] </w:t>
            </w:r>
            <w:r>
              <w:rPr>
                <w:lang w:eastAsia="zh-CN"/>
              </w:rPr>
              <w:t>] or</w:t>
            </w:r>
            <w:r>
              <w:rPr>
                <w:lang w:eastAsia="zh-CN"/>
              </w:rPr>
              <w:br w:type="textWrapping"/>
            </w:r>
            <w:r>
              <w:rPr>
                <w:lang w:eastAsia="zh-CN"/>
              </w:rPr>
              <w:t xml:space="preserve"> IEC 61000-3-11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470" w:hRule="atLeast"/>
          <w:jc w:val="center"/>
        </w:trPr>
        <w:tc>
          <w:tcPr>
            <w:tcW w:w="9857" w:type="dxa"/>
            <w:gridSpan w:val="6"/>
            <w:vAlign w:val="top"/>
          </w:tcPr>
          <w:p>
            <w:pPr>
              <w:pStyle w:val="75"/>
              <w:rPr>
                <w:lang w:val="en-US" w:eastAsia="en-GB"/>
              </w:rPr>
            </w:pPr>
            <w:r>
              <w:rPr>
                <w:lang w:eastAsia="en-GB"/>
              </w:rPr>
              <w:t>N</w:t>
            </w:r>
            <w:r>
              <w:rPr>
                <w:lang w:eastAsia="zh-CN"/>
              </w:rPr>
              <w:t>OTE</w:t>
            </w:r>
            <w:r>
              <w:rPr>
                <w:lang w:eastAsia="en-GB"/>
              </w:rPr>
              <w:t>:</w:t>
            </w:r>
            <w:r>
              <w:rPr>
                <w:lang w:eastAsia="en-GB"/>
              </w:rP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rFonts w:hint="eastAsia"/>
                <w:i/>
                <w:iCs/>
                <w:lang w:val="en-US" w:eastAsia="zh-CN"/>
              </w:rPr>
              <w:t xml:space="preserve">BS </w:t>
            </w:r>
            <w:r>
              <w:rPr>
                <w:i/>
                <w:iCs/>
                <w:lang w:val="en-US" w:eastAsia="zh-CN"/>
              </w:rPr>
              <w:t xml:space="preserve">type </w:t>
            </w:r>
            <w:r>
              <w:rPr>
                <w:rFonts w:hint="eastAsia"/>
                <w:i/>
                <w:iCs/>
                <w:lang w:val="en-US" w:eastAsia="zh-CN"/>
              </w:rPr>
              <w:t>1-O</w:t>
            </w:r>
            <w:r>
              <w:rPr>
                <w:rFonts w:hint="eastAsia"/>
                <w:lang w:val="en-US" w:eastAsia="zh-CN"/>
              </w:rPr>
              <w:t xml:space="preserve"> and</w:t>
            </w:r>
            <w:r>
              <w:rPr>
                <w:rFonts w:hint="eastAsia"/>
                <w:i/>
                <w:iCs/>
                <w:lang w:val="en-US" w:eastAsia="zh-CN"/>
              </w:rPr>
              <w:t xml:space="preserve"> </w:t>
            </w:r>
            <w:r>
              <w:rPr>
                <w:i/>
                <w:iCs/>
                <w:lang w:val="en-US" w:eastAsia="zh-CN"/>
              </w:rPr>
              <w:t xml:space="preserve">BS type </w:t>
            </w:r>
            <w:r>
              <w:rPr>
                <w:rFonts w:hint="eastAsia"/>
                <w:i/>
                <w:iCs/>
                <w:lang w:val="en-US" w:eastAsia="zh-CN"/>
              </w:rPr>
              <w:t>2-O</w:t>
            </w:r>
            <w:r>
              <w:rPr>
                <w:rFonts w:hint="eastAsia"/>
                <w:lang w:val="en-US" w:eastAsia="zh-CN"/>
              </w:rPr>
              <w:t xml:space="preserve"> are described in subclause 8.2.1. </w:t>
            </w:r>
          </w:p>
        </w:tc>
      </w:tr>
    </w:tbl>
    <w:p>
      <w:pPr>
        <w:pStyle w:val="4"/>
        <w:bidi w:val="0"/>
        <w:rPr>
          <w:rFonts w:hint="eastAsia"/>
          <w:lang w:val="en-US" w:eastAsia="zh-CN"/>
        </w:rPr>
      </w:pPr>
      <w:r>
        <w:rPr>
          <w:rFonts w:hint="eastAsia"/>
          <w:lang w:val="en-US" w:eastAsia="zh-CN"/>
        </w:rPr>
        <w:t>Radiated emission</w:t>
      </w:r>
    </w:p>
    <w:p>
      <w:pPr>
        <w:bidi w:val="0"/>
        <w:rPr>
          <w:rFonts w:hint="eastAsia"/>
          <w:lang w:val="en-US" w:eastAsia="zh-CN"/>
        </w:rPr>
      </w:pPr>
      <w:r>
        <w:rPr>
          <w:rFonts w:hint="eastAsia"/>
          <w:lang w:val="en-US" w:eastAsia="zh-CN"/>
        </w:rPr>
        <w:t>The radiated emission of BS type 1-C and 1-H are original from SM.329[3]. When introducing the new frequency range from 7-24GHz, the test frequency range should be updated based on current SM.329[3] as shown in table 2 below:</w:t>
      </w:r>
    </w:p>
    <w:p>
      <w:pPr>
        <w:rPr>
          <w:rFonts w:hint="eastAsia"/>
          <w:lang w:val="en-US" w:eastAsia="zh-CN"/>
        </w:rPr>
      </w:pPr>
      <w:r>
        <w:rPr>
          <w:rFonts w:hint="eastAsia"/>
          <w:lang w:val="en-US" w:eastAsia="zh-CN"/>
        </w:rPr>
        <w:t>As agreed in previous RAN4#90 meeting that we would like to divide the 7-24GHz range to three sub-ranges as 7-13GHz, 13-18GHz and 18-24GHz, the corresponding upper frequency should be 26GHz, 2</w:t>
      </w:r>
      <w:r>
        <w:rPr>
          <w:rFonts w:hint="eastAsia"/>
          <w:vertAlign w:val="superscript"/>
          <w:lang w:val="en-US" w:eastAsia="zh-CN"/>
        </w:rPr>
        <w:t>nd</w:t>
      </w:r>
      <w:r>
        <w:rPr>
          <w:rFonts w:hint="eastAsia"/>
          <w:lang w:val="en-US" w:eastAsia="zh-CN"/>
        </w:rPr>
        <w:t xml:space="preserve"> harmonic respectively according to table 2.</w:t>
      </w:r>
    </w:p>
    <w:p>
      <w:r>
        <w:br w:type="page"/>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eastAsia="宋体"/>
          <w:lang w:val="en-US" w:eastAsia="zh-CN"/>
        </w:rPr>
      </w:pPr>
      <w:r>
        <w:rPr>
          <w:rFonts w:hint="eastAsia"/>
          <w:lang w:val="en-US" w:eastAsia="zh-CN"/>
        </w:rPr>
        <w:t>Table 2 Frequency range for measurements of unwanted emission</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lang w:val="en-US" w:eastAsia="zh-CN"/>
        </w:rPr>
      </w:pPr>
      <w:r>
        <w:drawing>
          <wp:inline distT="0" distB="0" distL="114300" distR="114300">
            <wp:extent cx="4497070" cy="1992630"/>
            <wp:effectExtent l="0" t="0" r="1778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4"/>
                    <a:stretch>
                      <a:fillRect/>
                    </a:stretch>
                  </pic:blipFill>
                  <pic:spPr>
                    <a:xfrm>
                      <a:off x="0" y="0"/>
                      <a:ext cx="4497070" cy="19926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Current requirement of radiated emission limit is set as table 3 below:</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lang w:val="en-US" w:eastAsia="zh-CN"/>
        </w:rPr>
      </w:pPr>
      <w:r>
        <w:rPr>
          <w:rFonts w:hint="eastAsia"/>
          <w:lang w:val="en-US" w:eastAsia="zh-CN"/>
        </w:rPr>
        <w:t>Table 3 radiated emission limit</w:t>
      </w:r>
    </w:p>
    <w:tbl>
      <w:tblPr>
        <w:tblStyle w:val="52"/>
        <w:tblW w:w="96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330"/>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81" w:hRule="atLeast"/>
          <w:jc w:val="center"/>
        </w:trPr>
        <w:tc>
          <w:tcPr>
            <w:tcW w:w="4330" w:type="dxa"/>
            <w:vAlign w:val="top"/>
          </w:tcPr>
          <w:p>
            <w:pPr>
              <w:pStyle w:val="62"/>
              <w:rPr>
                <w:lang w:eastAsia="en-GB"/>
              </w:rPr>
            </w:pPr>
            <w:r>
              <w:rPr>
                <w:lang w:eastAsia="en-GB"/>
              </w:rPr>
              <w:t>Frequency range</w:t>
            </w:r>
          </w:p>
        </w:tc>
        <w:tc>
          <w:tcPr>
            <w:tcW w:w="5367" w:type="dxa"/>
            <w:vAlign w:val="top"/>
          </w:tcPr>
          <w:p>
            <w:pPr>
              <w:pStyle w:val="62"/>
              <w:rPr>
                <w:b w:val="0"/>
                <w:bCs/>
                <w:szCs w:val="18"/>
                <w:lang w:eastAsia="en-GB"/>
              </w:rPr>
            </w:pPr>
            <w:r>
              <w:rPr>
                <w:szCs w:val="18"/>
                <w:lang w:eastAsia="en-GB"/>
              </w:rPr>
              <w:t>Minimum requirement (e.r.p.) / Reference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63"/>
              <w:rPr>
                <w:lang w:eastAsia="en-GB"/>
              </w:rPr>
            </w:pPr>
            <w:r>
              <w:rPr>
                <w:lang w:eastAsia="en-GB"/>
              </w:rPr>
              <w:t xml:space="preserve">30 MHz </w:t>
            </w:r>
            <w:r>
              <w:rPr>
                <w:lang w:eastAsia="en-GB"/>
              </w:rPr>
              <w:sym w:font="Symbol" w:char="F0A3"/>
            </w:r>
            <w:r>
              <w:rPr>
                <w:lang w:eastAsia="en-GB"/>
              </w:rPr>
              <w:t xml:space="preserve"> f &lt; 1000 MHz</w:t>
            </w:r>
          </w:p>
        </w:tc>
        <w:tc>
          <w:tcPr>
            <w:tcW w:w="5367" w:type="dxa"/>
            <w:vAlign w:val="top"/>
          </w:tcPr>
          <w:p>
            <w:pPr>
              <w:pStyle w:val="63"/>
              <w:rPr>
                <w:lang w:eastAsia="en-GB"/>
              </w:rPr>
            </w:pPr>
            <w:r>
              <w:rPr>
                <w:lang w:eastAsia="en-GB"/>
              </w:rPr>
              <w:t>-36 dBm/ 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63"/>
              <w:rPr>
                <w:lang w:eastAsia="en-GB"/>
              </w:rPr>
            </w:pPr>
            <w:r>
              <w:rPr>
                <w:lang w:eastAsia="en-GB"/>
              </w:rPr>
              <w:t xml:space="preserve">1 GHz </w:t>
            </w:r>
            <w:r>
              <w:rPr>
                <w:lang w:eastAsia="en-GB"/>
              </w:rPr>
              <w:sym w:font="Symbol" w:char="F0A3"/>
            </w:r>
            <w:r>
              <w:rPr>
                <w:lang w:eastAsia="en-GB"/>
              </w:rPr>
              <w:t xml:space="preserve"> f &lt; 12.75 GHz</w:t>
            </w:r>
          </w:p>
        </w:tc>
        <w:tc>
          <w:tcPr>
            <w:tcW w:w="5367" w:type="dxa"/>
            <w:vAlign w:val="top"/>
          </w:tcPr>
          <w:p>
            <w:pPr>
              <w:pStyle w:val="63"/>
              <w:rPr>
                <w:lang w:eastAsia="en-GB"/>
              </w:rPr>
            </w:pPr>
            <w:r>
              <w:rPr>
                <w:lang w:eastAsia="en-GB"/>
              </w:rPr>
              <w:t>-30 dBm/ 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63"/>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val="en-US" w:eastAsia="zh-CN"/>
              </w:rPr>
              <w:t xml:space="preserve"> </w:t>
            </w:r>
            <w:r>
              <w:rPr>
                <w:lang w:eastAsia="en-GB"/>
              </w:rPr>
              <w:t xml:space="preserve"> </w:t>
            </w:r>
          </w:p>
          <w:p>
            <w:pPr>
              <w:pStyle w:val="63"/>
              <w:rPr>
                <w:lang w:eastAsia="en-GB"/>
              </w:rPr>
            </w:pPr>
            <w:r>
              <w:rPr>
                <w:lang w:eastAsia="en-GB"/>
              </w:rPr>
              <w:t>(Note 1, Note 2)</w:t>
            </w:r>
            <w:r>
              <w:rPr>
                <w:lang w:val="en-US" w:eastAsia="zh-CN"/>
              </w:rPr>
              <w:t>]</w:t>
            </w:r>
          </w:p>
        </w:tc>
        <w:tc>
          <w:tcPr>
            <w:tcW w:w="5367" w:type="dxa"/>
            <w:vAlign w:val="top"/>
          </w:tcPr>
          <w:p>
            <w:pPr>
              <w:pStyle w:val="63"/>
              <w:rPr>
                <w:lang w:eastAsia="en-GB"/>
              </w:rPr>
            </w:pPr>
            <w:r>
              <w:rPr>
                <w:lang w:eastAsia="en-GB"/>
              </w:rPr>
              <w:t>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9697" w:type="dxa"/>
            <w:gridSpan w:val="2"/>
            <w:vAlign w:val="top"/>
          </w:tcPr>
          <w:p>
            <w:pPr>
              <w:pStyle w:val="75"/>
              <w:rPr>
                <w:lang w:eastAsia="en-GB"/>
              </w:rPr>
            </w:pPr>
            <w:r>
              <w:rPr>
                <w:lang w:eastAsia="en-GB"/>
              </w:rPr>
              <w:t>NOTE 1:</w:t>
            </w:r>
            <w:r>
              <w:rPr>
                <w:lang w:eastAsia="en-GB"/>
              </w:rPr>
              <w:tab/>
            </w:r>
            <w:r>
              <w:rPr>
                <w:lang w:eastAsia="en-GB"/>
              </w:rPr>
              <w:t xml:space="preserve">For BS capable of multi-band operation, the frequency ranges relating to the RF bandwidths of all supported </w:t>
            </w:r>
            <w:r>
              <w:rPr>
                <w:rFonts w:hint="eastAsia" w:eastAsia="宋体"/>
                <w:i/>
                <w:iCs/>
                <w:lang w:val="en-US" w:eastAsia="zh-CN"/>
              </w:rPr>
              <w:t xml:space="preserve">operating </w:t>
            </w:r>
            <w:r>
              <w:rPr>
                <w:i/>
                <w:iCs/>
                <w:lang w:eastAsia="en-GB"/>
              </w:rPr>
              <w:t>bands</w:t>
            </w:r>
            <w:r>
              <w:rPr>
                <w:lang w:eastAsia="en-GB"/>
              </w:rPr>
              <w:t xml:space="preserve"> apply.</w:t>
            </w:r>
          </w:p>
          <w:p>
            <w:pPr>
              <w:pStyle w:val="75"/>
              <w:rPr>
                <w:rFonts w:cs="v4.2.0"/>
                <w:szCs w:val="18"/>
                <w:lang w:eastAsia="en-GB"/>
              </w:rPr>
            </w:pPr>
            <w:r>
              <w:rPr>
                <w:lang w:eastAsia="en-GB"/>
              </w:rPr>
              <w:t>NOTE 2:</w:t>
            </w:r>
            <w:r>
              <w:rPr>
                <w:lang w:eastAsia="en-GB"/>
              </w:rPr>
              <w:tab/>
            </w:r>
            <w:r>
              <w:t>Δf</w:t>
            </w:r>
            <w:r>
              <w:rPr>
                <w:rFonts w:hint="eastAsia"/>
                <w:vertAlign w:val="subscript"/>
                <w:lang w:val="en-US" w:eastAsia="zh-CN"/>
              </w:rPr>
              <w:t>OBUE</w:t>
            </w:r>
            <w:r>
              <w:rPr>
                <w:lang w:val="en-US" w:eastAsia="zh-CN"/>
              </w:rPr>
              <w:t xml:space="preserve">  </w:t>
            </w:r>
            <w:r>
              <w:rPr>
                <w:lang w:eastAsia="en-GB"/>
              </w:rPr>
              <w:t>as defined in</w:t>
            </w:r>
            <w:r>
              <w:rPr>
                <w:rFonts w:hint="eastAsia" w:eastAsia="宋体"/>
                <w:lang w:val="en-US" w:eastAsia="zh-CN"/>
              </w:rPr>
              <w:t>subclause</w:t>
            </w:r>
            <w:r>
              <w:rPr>
                <w:lang w:eastAsia="en-GB"/>
              </w:rPr>
              <w:t xml:space="preserve"> 6.6.1 of TS 38</w:t>
            </w:r>
            <w:r>
              <w:rPr>
                <w:rFonts w:hint="eastAsia"/>
                <w:lang w:val="en-US" w:eastAsia="zh-CN"/>
              </w:rPr>
              <w:t>.</w:t>
            </w:r>
            <w:r>
              <w:rPr>
                <w:lang w:eastAsia="en-GB"/>
              </w:rPr>
              <w:t xml:space="preserve">104 </w:t>
            </w:r>
            <w:r>
              <w:rPr>
                <w:rFonts w:hint="eastAsia"/>
                <w:lang w:val="en-US" w:eastAsia="zh-CN"/>
              </w:rPr>
              <w:t>[2]</w:t>
            </w:r>
          </w:p>
        </w:tc>
      </w:tr>
    </w:tbl>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As proposed in [4], only OTA requirements should be defined for sub-range 13-18 and 18-24GHz. It is proposed to keep the same method as what have been applied for BS type 1-O and 2-O. The radiated emission of base station within these two sub-ranges should be covered by the radiated spurious emission requirements in TS 38.104.</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Hence, the radiated emission requirement only covers the 7-13GHz sub-range. In this case, the upper frequency range should be set to 26GHz.</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b/>
          <w:bCs/>
          <w:lang w:val="en-US" w:eastAsia="zh-CN"/>
        </w:rPr>
      </w:pPr>
      <w:r>
        <w:rPr>
          <w:rFonts w:hint="eastAsia"/>
          <w:b/>
          <w:bCs/>
          <w:lang w:val="en-US" w:eastAsia="zh-CN"/>
        </w:rPr>
        <w:t>Proposal 1: For sub-range 13-18GHz and 18-24GHz radiated emission will be covered by radiated spurious emission.</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b/>
          <w:bCs/>
          <w:lang w:val="en-US" w:eastAsia="zh-CN"/>
        </w:rPr>
      </w:pPr>
      <w:r>
        <w:rPr>
          <w:rFonts w:hint="eastAsia"/>
          <w:b/>
          <w:bCs/>
          <w:lang w:val="en-US" w:eastAsia="zh-CN"/>
        </w:rPr>
        <w:t>Proposal 2: Set the radiated emission requirement upper range limit to 26GHz.</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vertAlign w:val="baseline"/>
          <w:lang w:val="en-US" w:eastAsia="zh-CN"/>
        </w:rPr>
      </w:pPr>
      <w:r>
        <w:rPr>
          <w:rFonts w:hint="eastAsia"/>
          <w:b w:val="0"/>
          <w:bCs w:val="0"/>
          <w:lang w:val="en-US" w:eastAsia="zh-CN"/>
        </w:rPr>
        <w:t xml:space="preserve">Furthermore, the </w:t>
      </w:r>
      <w:r>
        <w:t>Δf</w:t>
      </w:r>
      <w:r>
        <w:rPr>
          <w:rFonts w:hint="eastAsia"/>
          <w:vertAlign w:val="subscript"/>
          <w:lang w:val="en-US" w:eastAsia="zh-CN"/>
        </w:rPr>
        <w:t xml:space="preserve">OBUE </w:t>
      </w:r>
      <w:r>
        <w:rPr>
          <w:rFonts w:hint="eastAsia"/>
          <w:vertAlign w:val="baseline"/>
          <w:lang w:val="en-US" w:eastAsia="zh-CN"/>
        </w:rPr>
        <w:t>should be updated accordingly of sub-range 7-13GHz if it is changed in RF spec.</w:t>
      </w:r>
    </w:p>
    <w:p>
      <w:pPr>
        <w:pStyle w:val="4"/>
        <w:bidi w:val="0"/>
        <w:rPr>
          <w:rFonts w:hint="default"/>
          <w:lang w:val="en-US" w:eastAsia="zh-CN"/>
        </w:rPr>
      </w:pPr>
      <w:r>
        <w:rPr>
          <w:rFonts w:hint="eastAsia"/>
          <w:lang w:val="en-US" w:eastAsia="zh-CN"/>
        </w:rPr>
        <w:t>Other emission requirements</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The upper frequency range of conducted requirement is set to only 30MHz. Hence there won</w:t>
      </w:r>
      <w:r>
        <w:rPr>
          <w:rFonts w:hint="default"/>
          <w:lang w:val="en-US" w:eastAsia="zh-CN"/>
        </w:rPr>
        <w:t>’</w:t>
      </w:r>
      <w:r>
        <w:rPr>
          <w:rFonts w:hint="eastAsia"/>
          <w:lang w:val="en-US" w:eastAsia="zh-CN"/>
        </w:rPr>
        <w:t xml:space="preserve">t be many difference when talking about the new frequency range as it is higher then 7GHz. </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For the harmonic and voltage fluctuation emission test, its mainly concern is the AC main power and it is only tens of Hz as very low frequency. So there will be no change.</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default"/>
          <w:b/>
          <w:bCs/>
          <w:lang w:val="en-US" w:eastAsia="zh-CN"/>
        </w:rPr>
      </w:pPr>
      <w:r>
        <w:rPr>
          <w:rFonts w:hint="eastAsia"/>
          <w:b/>
          <w:bCs/>
          <w:lang w:val="en-US" w:eastAsia="zh-CN"/>
        </w:rPr>
        <w:t>Proposal 3: There will be no change for conducted emission, harmonic current emission and voltage fluctuations and flicker test for frequency range 7-24GHz.</w:t>
      </w:r>
    </w:p>
    <w:p>
      <w:pPr>
        <w:pStyle w:val="3"/>
        <w:bidi w:val="0"/>
        <w:rPr>
          <w:rFonts w:hint="eastAsia"/>
          <w:lang w:val="en-US" w:eastAsia="zh-CN"/>
        </w:rPr>
      </w:pPr>
      <w:r>
        <w:rPr>
          <w:rFonts w:hint="eastAsia"/>
          <w:lang w:val="en-US" w:eastAsia="zh-CN"/>
        </w:rPr>
        <w:t>Immunity requirements</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The immunity requirement is to test the EUT</w:t>
      </w:r>
      <w:r>
        <w:rPr>
          <w:rFonts w:hint="default"/>
          <w:lang w:val="en-US" w:eastAsia="zh-CN"/>
        </w:rPr>
        <w:t>’</w:t>
      </w:r>
      <w:r>
        <w:rPr>
          <w:rFonts w:hint="eastAsia"/>
          <w:lang w:val="en-US" w:eastAsia="zh-CN"/>
        </w:rPr>
        <w:t>s susceptibility to different outside interference, mostly from the working environment. So these kind of requirements are not very frequency sensitive, except for the radiated immunity requirement. The immunity requirement of current TS 38.113[2] is listed in table 4 below:</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lang w:val="en-US" w:eastAsia="zh-CN"/>
        </w:rPr>
      </w:pPr>
      <w:r>
        <w:rPr>
          <w:rFonts w:hint="eastAsia"/>
          <w:lang w:val="en-US" w:eastAsia="zh-CN"/>
        </w:rPr>
        <w:t>Table 4: Immunity requirements applicability</w:t>
      </w:r>
    </w:p>
    <w:tbl>
      <w:tblPr>
        <w:tblStyle w:val="52"/>
        <w:tblW w:w="9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restart"/>
            <w:vAlign w:val="center"/>
          </w:tcPr>
          <w:p>
            <w:pPr>
              <w:pStyle w:val="62"/>
              <w:rPr>
                <w:rFonts w:cs="Arial"/>
                <w:lang w:eastAsia="en-GB"/>
              </w:rPr>
            </w:pPr>
            <w:r>
              <w:rPr>
                <w:rFonts w:cs="Arial"/>
                <w:lang w:eastAsia="en-GB"/>
              </w:rPr>
              <w:t>Phenomenon</w:t>
            </w:r>
          </w:p>
        </w:tc>
        <w:tc>
          <w:tcPr>
            <w:tcW w:w="1746" w:type="dxa"/>
            <w:vMerge w:val="restart"/>
            <w:vAlign w:val="center"/>
          </w:tcPr>
          <w:p>
            <w:pPr>
              <w:pStyle w:val="62"/>
              <w:rPr>
                <w:rFonts w:cs="Arial"/>
                <w:lang w:eastAsia="en-GB"/>
              </w:rPr>
            </w:pPr>
            <w:r>
              <w:rPr>
                <w:rFonts w:cs="Arial"/>
                <w:lang w:eastAsia="en-GB"/>
              </w:rPr>
              <w:t>Application</w:t>
            </w:r>
          </w:p>
        </w:tc>
        <w:tc>
          <w:tcPr>
            <w:tcW w:w="2454" w:type="dxa"/>
            <w:gridSpan w:val="2"/>
            <w:vAlign w:val="center"/>
          </w:tcPr>
          <w:p>
            <w:pPr>
              <w:pStyle w:val="62"/>
              <w:rPr>
                <w:rFonts w:cs="Arial"/>
                <w:lang w:eastAsia="en-GB"/>
              </w:rPr>
            </w:pPr>
            <w:r>
              <w:rPr>
                <w:rFonts w:cs="Arial"/>
                <w:lang w:eastAsia="en-GB"/>
              </w:rPr>
              <w:t>Equipment test requirement</w:t>
            </w:r>
          </w:p>
        </w:tc>
        <w:tc>
          <w:tcPr>
            <w:tcW w:w="1757" w:type="dxa"/>
            <w:vMerge w:val="restart"/>
            <w:vAlign w:val="center"/>
          </w:tcPr>
          <w:p>
            <w:pPr>
              <w:pStyle w:val="62"/>
              <w:rPr>
                <w:rFonts w:cs="Arial"/>
                <w:lang w:eastAsia="en-GB"/>
              </w:rPr>
            </w:pPr>
            <w:r>
              <w:rPr>
                <w:rFonts w:cs="Arial"/>
                <w:lang w:eastAsia="en-GB"/>
              </w:rPr>
              <w:t>Reference</w:t>
            </w:r>
          </w:p>
          <w:p>
            <w:pPr>
              <w:pStyle w:val="62"/>
              <w:rPr>
                <w:rFonts w:cs="Arial"/>
                <w:lang w:eastAsia="en-GB"/>
              </w:rPr>
            </w:pPr>
            <w:r>
              <w:rPr>
                <w:rFonts w:cs="Arial"/>
                <w:lang w:eastAsia="en-GB"/>
              </w:rPr>
              <w:t>subclause in the present document</w:t>
            </w:r>
          </w:p>
        </w:tc>
        <w:tc>
          <w:tcPr>
            <w:tcW w:w="1813" w:type="dxa"/>
            <w:vMerge w:val="restart"/>
            <w:vAlign w:val="center"/>
          </w:tcPr>
          <w:p>
            <w:pPr>
              <w:pStyle w:val="62"/>
              <w:rPr>
                <w:rFonts w:cs="Arial"/>
                <w:lang w:eastAsia="en-GB"/>
              </w:rPr>
            </w:pPr>
            <w:r>
              <w:rPr>
                <w:rFonts w:cs="Arial"/>
                <w:lang w:eastAsia="en-GB"/>
              </w:rPr>
              <w:t>Reference</w:t>
            </w:r>
          </w:p>
          <w:p>
            <w:pPr>
              <w:pStyle w:val="62"/>
              <w:rPr>
                <w:rFonts w:cs="Arial"/>
                <w:lang w:eastAsia="en-GB"/>
              </w:rPr>
            </w:pPr>
            <w:r>
              <w:rPr>
                <w:rFonts w:cs="Arial"/>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continue"/>
            <w:vAlign w:val="center"/>
          </w:tcPr>
          <w:p>
            <w:pPr>
              <w:keepNext/>
              <w:keepLines/>
              <w:jc w:val="center"/>
              <w:rPr>
                <w:rFonts w:ascii="Arial" w:hAnsi="Arial" w:cs="v4.2.0"/>
                <w:b/>
                <w:sz w:val="18"/>
                <w:lang w:eastAsia="en-GB"/>
              </w:rPr>
            </w:pPr>
          </w:p>
        </w:tc>
        <w:tc>
          <w:tcPr>
            <w:tcW w:w="1746" w:type="dxa"/>
            <w:vMerge w:val="continue"/>
            <w:vAlign w:val="center"/>
          </w:tcPr>
          <w:p>
            <w:pPr>
              <w:keepNext/>
              <w:keepLines/>
              <w:jc w:val="center"/>
              <w:rPr>
                <w:rFonts w:ascii="Arial" w:hAnsi="Arial" w:cs="v4.2.0"/>
                <w:b/>
                <w:sz w:val="18"/>
                <w:lang w:eastAsia="en-GB"/>
              </w:rPr>
            </w:pPr>
          </w:p>
        </w:tc>
        <w:tc>
          <w:tcPr>
            <w:tcW w:w="1213" w:type="dxa"/>
            <w:vAlign w:val="center"/>
          </w:tcPr>
          <w:p>
            <w:pPr>
              <w:pStyle w:val="62"/>
              <w:rPr>
                <w:rFonts w:cs="Arial"/>
                <w:lang w:eastAsia="en-GB"/>
              </w:rPr>
            </w:pPr>
            <w:r>
              <w:rPr>
                <w:rFonts w:cs="Arial"/>
                <w:lang w:eastAsia="en-GB"/>
              </w:rPr>
              <w:t>BS equipment</w:t>
            </w:r>
          </w:p>
        </w:tc>
        <w:tc>
          <w:tcPr>
            <w:tcW w:w="1241" w:type="dxa"/>
            <w:vAlign w:val="center"/>
          </w:tcPr>
          <w:p>
            <w:pPr>
              <w:pStyle w:val="62"/>
              <w:rPr>
                <w:rFonts w:cs="Arial"/>
                <w:lang w:eastAsia="en-GB"/>
              </w:rPr>
            </w:pPr>
            <w:r>
              <w:rPr>
                <w:rFonts w:cs="Arial"/>
                <w:lang w:eastAsia="en-GB"/>
              </w:rPr>
              <w:t>Ancillary equipment</w:t>
            </w:r>
          </w:p>
        </w:tc>
        <w:tc>
          <w:tcPr>
            <w:tcW w:w="1757" w:type="dxa"/>
            <w:vMerge w:val="continue"/>
            <w:vAlign w:val="center"/>
          </w:tcPr>
          <w:p>
            <w:pPr>
              <w:keepNext/>
              <w:keepLines/>
              <w:jc w:val="center"/>
              <w:rPr>
                <w:rFonts w:ascii="Arial" w:hAnsi="Arial" w:cs="v4.2.0"/>
                <w:b/>
                <w:sz w:val="18"/>
                <w:lang w:eastAsia="en-GB"/>
              </w:rPr>
            </w:pPr>
          </w:p>
        </w:tc>
        <w:tc>
          <w:tcPr>
            <w:tcW w:w="1813" w:type="dxa"/>
            <w:vMerge w:val="continue"/>
            <w:vAlign w:val="center"/>
          </w:tcPr>
          <w:p>
            <w:pPr>
              <w:keepNext/>
              <w:keepLines/>
              <w:jc w:val="center"/>
              <w:rPr>
                <w:rFonts w:ascii="Arial" w:hAnsi="Arial" w:cs="v4.2.0"/>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RF electro</w:t>
            </w:r>
            <w:r>
              <w:rPr>
                <w:rFonts w:cs="Arial"/>
                <w:lang w:eastAsia="en-GB"/>
              </w:rPr>
              <w:softHyphen/>
            </w:r>
            <w:r>
              <w:rPr>
                <w:rFonts w:cs="Arial"/>
                <w:lang w:eastAsia="en-GB"/>
              </w:rPr>
              <w:t xml:space="preserve">magnetic field </w:t>
            </w:r>
            <w:r>
              <w:rPr>
                <w:rFonts w:cs="Arial"/>
                <w:szCs w:val="22"/>
                <w:lang w:eastAsia="en-GB"/>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lang w:eastAsia="en-GB"/>
              </w:rPr>
              <w:t>)</w:t>
            </w:r>
          </w:p>
        </w:tc>
        <w:tc>
          <w:tcPr>
            <w:tcW w:w="1746" w:type="dxa"/>
            <w:vAlign w:val="top"/>
          </w:tcPr>
          <w:p>
            <w:pPr>
              <w:pStyle w:val="63"/>
              <w:rPr>
                <w:rFonts w:cs="Arial"/>
                <w:lang w:eastAsia="en-GB"/>
              </w:rPr>
            </w:pPr>
            <w:r>
              <w:rPr>
                <w:rFonts w:cs="Arial"/>
                <w:lang w:eastAsia="en-GB"/>
              </w:rPr>
              <w:t>Enclosure</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2</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3 [1</w:t>
            </w:r>
            <w:r>
              <w:rPr>
                <w:rFonts w:hint="eastAsia" w:cs="Arial"/>
                <w:lang w:val="en-US" w:eastAsia="zh-CN"/>
              </w:rPr>
              <w:t>8</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Electrostatic discharge</w:t>
            </w:r>
          </w:p>
        </w:tc>
        <w:tc>
          <w:tcPr>
            <w:tcW w:w="1746" w:type="dxa"/>
            <w:vAlign w:val="top"/>
          </w:tcPr>
          <w:p>
            <w:pPr>
              <w:pStyle w:val="63"/>
              <w:rPr>
                <w:rFonts w:cs="Arial"/>
                <w:lang w:eastAsia="en-GB"/>
              </w:rPr>
            </w:pPr>
            <w:r>
              <w:rPr>
                <w:rFonts w:cs="Arial"/>
                <w:lang w:eastAsia="en-GB"/>
              </w:rPr>
              <w:t>Enclosure</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3</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2 [1</w:t>
            </w:r>
            <w:r>
              <w:rPr>
                <w:rFonts w:hint="eastAsia" w:cs="Arial"/>
                <w:lang w:val="en-US" w:eastAsia="zh-CN"/>
              </w:rPr>
              <w:t>7</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Fast transients common mode</w:t>
            </w:r>
          </w:p>
        </w:tc>
        <w:tc>
          <w:tcPr>
            <w:tcW w:w="1746" w:type="dxa"/>
            <w:vAlign w:val="top"/>
          </w:tcPr>
          <w:p>
            <w:pPr>
              <w:pStyle w:val="63"/>
              <w:rPr>
                <w:rFonts w:cs="Arial"/>
                <w:lang w:eastAsia="en-GB"/>
              </w:rPr>
            </w:pPr>
            <w:r>
              <w:rPr>
                <w:rFonts w:cs="Arial"/>
                <w:lang w:eastAsia="en-GB"/>
              </w:rPr>
              <w:t xml:space="preserve">Signal, telecommunications and control </w:t>
            </w:r>
            <w:r>
              <w:rPr>
                <w:rFonts w:cs="Arial"/>
                <w:i/>
                <w:iCs/>
                <w:lang w:eastAsia="en-GB"/>
              </w:rPr>
              <w:t>ports</w:t>
            </w:r>
            <w:r>
              <w:rPr>
                <w:rFonts w:cs="Arial"/>
                <w:lang w:eastAsia="en-GB"/>
              </w:rPr>
              <w:t xml:space="preserve">, DC and AC power input </w:t>
            </w:r>
            <w:r>
              <w:rPr>
                <w:rFonts w:cs="Arial"/>
                <w:i/>
                <w:iCs/>
                <w:lang w:eastAsia="en-GB"/>
              </w:rPr>
              <w:t>port</w:t>
            </w:r>
            <w:r>
              <w:rPr>
                <w:rFonts w:cs="Arial"/>
                <w:lang w:eastAsia="en-GB"/>
              </w:rPr>
              <w: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4</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RF common mode</w:t>
            </w:r>
          </w:p>
          <w:p>
            <w:pPr>
              <w:pStyle w:val="63"/>
              <w:rPr>
                <w:rFonts w:cs="Arial"/>
                <w:lang w:eastAsia="en-GB"/>
              </w:rPr>
            </w:pPr>
            <w:r>
              <w:rPr>
                <w:rFonts w:cs="Arial"/>
                <w:lang w:eastAsia="en-GB"/>
              </w:rPr>
              <w:t>0.15 - 80 MHz</w:t>
            </w:r>
          </w:p>
        </w:tc>
        <w:tc>
          <w:tcPr>
            <w:tcW w:w="1746" w:type="dxa"/>
            <w:vAlign w:val="top"/>
          </w:tcPr>
          <w:p>
            <w:pPr>
              <w:pStyle w:val="63"/>
              <w:rPr>
                <w:rFonts w:cs="Arial"/>
                <w:lang w:eastAsia="en-GB"/>
              </w:rPr>
            </w:pPr>
            <w:r>
              <w:rPr>
                <w:rFonts w:cs="Arial"/>
                <w:lang w:eastAsia="en-GB"/>
              </w:rPr>
              <w:t xml:space="preserve">Signal, telecommunications and control </w:t>
            </w:r>
            <w:r>
              <w:rPr>
                <w:rFonts w:cs="Arial"/>
                <w:i/>
                <w:iCs/>
                <w:lang w:eastAsia="en-GB"/>
              </w:rPr>
              <w:t>port</w:t>
            </w:r>
            <w:r>
              <w:rPr>
                <w:rFonts w:cs="Arial"/>
                <w:lang w:eastAsia="en-GB"/>
              </w:rPr>
              <w:t xml:space="preserve">s, DC and AC power input </w:t>
            </w:r>
            <w:r>
              <w:rPr>
                <w:rFonts w:cs="Arial"/>
                <w:i/>
                <w:iCs/>
                <w:lang w:eastAsia="en-GB"/>
              </w:rPr>
              <w:t>port</w:t>
            </w:r>
            <w:r>
              <w:rPr>
                <w:rFonts w:cs="Arial"/>
                <w:lang w:eastAsia="en-GB"/>
              </w:rPr>
              <w: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5</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6 [2</w:t>
            </w:r>
            <w:r>
              <w:rPr>
                <w:rFonts w:hint="eastAsia" w:cs="Arial"/>
                <w:lang w:val="en-US" w:eastAsia="zh-CN"/>
              </w:rPr>
              <w:t>1</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Voltage dips and interruptions</w:t>
            </w:r>
          </w:p>
        </w:tc>
        <w:tc>
          <w:tcPr>
            <w:tcW w:w="1746" w:type="dxa"/>
            <w:vAlign w:val="top"/>
          </w:tcPr>
          <w:p>
            <w:pPr>
              <w:pStyle w:val="63"/>
              <w:rPr>
                <w:rFonts w:cs="Arial"/>
                <w:lang w:eastAsia="en-GB"/>
              </w:rPr>
            </w:pPr>
            <w:r>
              <w:rPr>
                <w:rFonts w:cs="Arial"/>
                <w:lang w:eastAsia="en-GB"/>
              </w:rPr>
              <w:t xml:space="preserve">AC mains power input </w:t>
            </w:r>
            <w:r>
              <w:rPr>
                <w:rFonts w:cs="Arial"/>
                <w:i/>
                <w:iCs/>
                <w:lang w:eastAsia="en-GB"/>
              </w:rPr>
              <w:t>port</w:t>
            </w:r>
            <w:r>
              <w:rPr>
                <w:rFonts w:cs="Arial"/>
                <w:lang w:eastAsia="en-GB"/>
              </w:rPr>
              <w: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6</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11 [2</w:t>
            </w:r>
            <w:r>
              <w:rPr>
                <w:rFonts w:hint="eastAsia" w:cs="Arial"/>
                <w:lang w:val="en-US" w:eastAsia="zh-CN"/>
              </w:rPr>
              <w:t>2</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Surges, common and differential mode</w:t>
            </w:r>
          </w:p>
        </w:tc>
        <w:tc>
          <w:tcPr>
            <w:tcW w:w="1746" w:type="dxa"/>
            <w:vAlign w:val="top"/>
          </w:tcPr>
          <w:p>
            <w:pPr>
              <w:pStyle w:val="63"/>
              <w:rPr>
                <w:rFonts w:cs="Arial"/>
                <w:lang w:eastAsia="en-GB"/>
              </w:rPr>
            </w:pPr>
            <w:r>
              <w:rPr>
                <w:rFonts w:cs="Arial"/>
                <w:lang w:eastAsia="en-GB"/>
              </w:rPr>
              <w:t xml:space="preserve"> AC power input </w:t>
            </w:r>
            <w:r>
              <w:rPr>
                <w:rFonts w:cs="Arial"/>
                <w:i/>
                <w:iCs/>
                <w:lang w:eastAsia="en-GB"/>
              </w:rPr>
              <w:t>port</w:t>
            </w:r>
            <w:r>
              <w:rPr>
                <w:rFonts w:cs="Arial"/>
                <w:lang w:eastAsia="en-GB"/>
              </w:rPr>
              <w:t xml:space="preserve">s and </w:t>
            </w:r>
            <w:r>
              <w:rPr>
                <w:rFonts w:cs="Arial"/>
                <w:i/>
                <w:iCs/>
                <w:lang w:eastAsia="en-GB"/>
              </w:rPr>
              <w:t>telecommunications port</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7</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5 [2</w:t>
            </w:r>
            <w:r>
              <w:rPr>
                <w:rFonts w:hint="eastAsia" w:cs="Arial"/>
                <w:lang w:val="en-US" w:eastAsia="zh-CN"/>
              </w:rPr>
              <w:t>0</w:t>
            </w:r>
            <w:r>
              <w:rPr>
                <w:rFonts w:cs="Arial"/>
                <w:lang w:eastAsia="en-GB"/>
              </w:rPr>
              <w:t>]</w:t>
            </w:r>
          </w:p>
        </w:tc>
      </w:tr>
    </w:tbl>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 xml:space="preserve"> The only influence of the new frequency range should be the RF electromagnetic field(80-6000MHz). So far as the upper frequency range is only 6GHz which is lower then the 7GHz new range lowest frequency, there should be no additional requirement needed for this RI test. However, as the introduction of BS type 2-O, the EMC community is considering extending the upper test frequency range of the RI test. So further study is needed for 7-24GHz.</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b/>
          <w:bCs/>
          <w:lang w:val="en-US" w:eastAsia="zh-CN"/>
        </w:rPr>
        <w:t>Proposal 4: To further study the influence on radiated immunity test for 7-24GHz.</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impact on EMC requirements as introducing new frequency range and proposals are:</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b/>
          <w:bCs/>
          <w:lang w:val="en-US" w:eastAsia="zh-CN"/>
        </w:rPr>
      </w:pPr>
      <w:r>
        <w:rPr>
          <w:rFonts w:hint="eastAsia"/>
          <w:b/>
          <w:bCs/>
          <w:lang w:val="en-US" w:eastAsia="zh-CN"/>
        </w:rPr>
        <w:t>Proposal 1: For sub-range 13-18GHz and 18-24GHz radiated emission will be covered by radiated spurious emission.</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b/>
          <w:bCs/>
          <w:lang w:val="en-US" w:eastAsia="zh-CN"/>
        </w:rPr>
      </w:pPr>
      <w:r>
        <w:rPr>
          <w:rFonts w:hint="eastAsia"/>
          <w:b/>
          <w:bCs/>
          <w:lang w:val="en-US" w:eastAsia="zh-CN"/>
        </w:rPr>
        <w:t>Proposal 2: Set the radiated emission requirement upper range limit to 26GHz.</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default"/>
          <w:b/>
          <w:bCs/>
          <w:lang w:val="en-US" w:eastAsia="zh-CN"/>
        </w:rPr>
      </w:pPr>
      <w:r>
        <w:rPr>
          <w:rFonts w:hint="eastAsia"/>
          <w:b/>
          <w:bCs/>
          <w:lang w:val="en-US" w:eastAsia="zh-CN"/>
        </w:rPr>
        <w:t>Proposal 3: There will be no change for conducted emission, harmonic current emission and voltage fluctuations and flicker test for frequency range 7-24GHz.</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b/>
          <w:bCs/>
          <w:lang w:val="en-US" w:eastAsia="zh-CN"/>
        </w:rPr>
        <w:t>Proposal 4: To further study the influence on radiated immunity test for 7-24GHz.</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fldChar w:fldCharType="begin"/>
      </w:r>
      <w:r>
        <w:rPr>
          <w:rFonts w:hint="eastAsia"/>
          <w:lang w:val="en-US" w:eastAsia="zh-CN"/>
        </w:rPr>
        <w:instrText xml:space="preserve"> HYPERLINK "..\\..\\Docs\\R4-1902509.zip" </w:instrText>
      </w:r>
      <w:r>
        <w:rPr>
          <w:rFonts w:hint="eastAsia"/>
          <w:lang w:val="en-US" w:eastAsia="zh-CN"/>
        </w:rPr>
        <w:fldChar w:fldCharType="separate"/>
      </w:r>
      <w:r>
        <w:rPr>
          <w:rFonts w:hint="eastAsia"/>
          <w:lang w:val="en-US" w:eastAsia="zh-CN"/>
        </w:rPr>
        <w:t>R4-1902509</w:t>
      </w:r>
      <w:r>
        <w:rPr>
          <w:rFonts w:hint="eastAsia"/>
          <w:lang w:val="en-US" w:eastAsia="zh-CN"/>
        </w:rPr>
        <w:fldChar w:fldCharType="end"/>
      </w:r>
      <w:r>
        <w:rPr>
          <w:rFonts w:hint="eastAsia"/>
          <w:lang w:val="en-US" w:eastAsia="zh-CN"/>
        </w:rPr>
        <w:t xml:space="preserve"> Work plan for the 7-24 GHz study item, Huawei</w:t>
      </w:r>
    </w:p>
    <w:p>
      <w:pPr>
        <w:pStyle w:val="93"/>
        <w:rPr>
          <w:rFonts w:hint="eastAsia"/>
          <w:lang w:val="en-US" w:eastAsia="zh-CN"/>
        </w:rPr>
      </w:pPr>
      <w:r>
        <w:rPr>
          <w:rFonts w:hint="eastAsia"/>
          <w:lang w:val="en-US" w:eastAsia="zh-CN"/>
        </w:rPr>
        <w:t>TS 38.113</w:t>
      </w:r>
    </w:p>
    <w:p>
      <w:pPr>
        <w:pStyle w:val="93"/>
        <w:rPr>
          <w:rFonts w:hint="eastAsia"/>
          <w:lang w:val="en-US" w:eastAsia="zh-CN"/>
        </w:rPr>
      </w:pPr>
      <w:r>
        <w:rPr>
          <w:rFonts w:hint="eastAsia"/>
          <w:lang w:val="en-US" w:eastAsia="zh-CN"/>
        </w:rPr>
        <w:t>ITU-R  SM.329-12, Unwanted emissions in the spurious domain</w:t>
      </w:r>
    </w:p>
    <w:p>
      <w:pPr>
        <w:pStyle w:val="93"/>
        <w:rPr>
          <w:rFonts w:hint="eastAsia"/>
          <w:lang w:val="en-US" w:eastAsia="zh-CN"/>
        </w:rPr>
      </w:pPr>
      <w:bookmarkStart w:id="7" w:name="_GoBack"/>
      <w:bookmarkEnd w:id="7"/>
      <w:r>
        <w:rPr>
          <w:rFonts w:hint="eastAsia"/>
          <w:lang w:val="en-US" w:eastAsia="zh-CN"/>
        </w:rPr>
        <w:t>R4-1903565 on out-of-band blocking test for 7-24GHz, ZTE</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C65454"/>
    <w:rsid w:val="031C4CB7"/>
    <w:rsid w:val="03AA77A6"/>
    <w:rsid w:val="04763DB6"/>
    <w:rsid w:val="047C7717"/>
    <w:rsid w:val="05963C4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0FC44BB0"/>
    <w:rsid w:val="10561550"/>
    <w:rsid w:val="108C25AB"/>
    <w:rsid w:val="11CE6ABD"/>
    <w:rsid w:val="12116912"/>
    <w:rsid w:val="1354200B"/>
    <w:rsid w:val="13867FC8"/>
    <w:rsid w:val="139C0323"/>
    <w:rsid w:val="15B13CC5"/>
    <w:rsid w:val="166C0F69"/>
    <w:rsid w:val="169E6FF0"/>
    <w:rsid w:val="176F3E0E"/>
    <w:rsid w:val="18244A12"/>
    <w:rsid w:val="19E510C0"/>
    <w:rsid w:val="1A670C75"/>
    <w:rsid w:val="1BB41235"/>
    <w:rsid w:val="1BDD4E03"/>
    <w:rsid w:val="1C3E5BEE"/>
    <w:rsid w:val="1D000C57"/>
    <w:rsid w:val="1D9D6581"/>
    <w:rsid w:val="1E4067BA"/>
    <w:rsid w:val="1E9A2C7A"/>
    <w:rsid w:val="1F697F0E"/>
    <w:rsid w:val="1F825716"/>
    <w:rsid w:val="20484B28"/>
    <w:rsid w:val="205270E7"/>
    <w:rsid w:val="20B1597C"/>
    <w:rsid w:val="21107C64"/>
    <w:rsid w:val="21472AD0"/>
    <w:rsid w:val="21C109E9"/>
    <w:rsid w:val="21D67E69"/>
    <w:rsid w:val="225847F9"/>
    <w:rsid w:val="23597F29"/>
    <w:rsid w:val="24541EC9"/>
    <w:rsid w:val="25BE15D6"/>
    <w:rsid w:val="27BA255A"/>
    <w:rsid w:val="288B0F82"/>
    <w:rsid w:val="28E63C49"/>
    <w:rsid w:val="29D25E5C"/>
    <w:rsid w:val="2A351867"/>
    <w:rsid w:val="2CD613D2"/>
    <w:rsid w:val="2D153347"/>
    <w:rsid w:val="2D2A1CF1"/>
    <w:rsid w:val="2E0A65A8"/>
    <w:rsid w:val="2F7808DB"/>
    <w:rsid w:val="30885017"/>
    <w:rsid w:val="31C725D8"/>
    <w:rsid w:val="31E70315"/>
    <w:rsid w:val="32352858"/>
    <w:rsid w:val="33957597"/>
    <w:rsid w:val="339C289B"/>
    <w:rsid w:val="33AC3E9B"/>
    <w:rsid w:val="346B6A82"/>
    <w:rsid w:val="35DA3A34"/>
    <w:rsid w:val="377F030D"/>
    <w:rsid w:val="381708BF"/>
    <w:rsid w:val="388E4CAC"/>
    <w:rsid w:val="38B038AB"/>
    <w:rsid w:val="39BD0890"/>
    <w:rsid w:val="3CAA1627"/>
    <w:rsid w:val="3D3210E1"/>
    <w:rsid w:val="3E2E3C0E"/>
    <w:rsid w:val="3E343CDE"/>
    <w:rsid w:val="3E3602D5"/>
    <w:rsid w:val="3EE436F8"/>
    <w:rsid w:val="405209B8"/>
    <w:rsid w:val="414D70C7"/>
    <w:rsid w:val="422431F5"/>
    <w:rsid w:val="42395B94"/>
    <w:rsid w:val="424B558A"/>
    <w:rsid w:val="426B0E00"/>
    <w:rsid w:val="42AE4A66"/>
    <w:rsid w:val="42EE355E"/>
    <w:rsid w:val="43F45753"/>
    <w:rsid w:val="44204329"/>
    <w:rsid w:val="451A2E72"/>
    <w:rsid w:val="45D61D1B"/>
    <w:rsid w:val="465B1E95"/>
    <w:rsid w:val="467823B0"/>
    <w:rsid w:val="46ED68DD"/>
    <w:rsid w:val="48866A0F"/>
    <w:rsid w:val="4A015527"/>
    <w:rsid w:val="4B112B71"/>
    <w:rsid w:val="4BA52676"/>
    <w:rsid w:val="4C6B12AB"/>
    <w:rsid w:val="4CBE1380"/>
    <w:rsid w:val="4D8D0EED"/>
    <w:rsid w:val="4E0B7835"/>
    <w:rsid w:val="4E6374A0"/>
    <w:rsid w:val="4EDC2D82"/>
    <w:rsid w:val="4F484719"/>
    <w:rsid w:val="50101CBA"/>
    <w:rsid w:val="50502B31"/>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120442E"/>
    <w:rsid w:val="61392C49"/>
    <w:rsid w:val="61E91DC1"/>
    <w:rsid w:val="61EB6DF6"/>
    <w:rsid w:val="628B20F9"/>
    <w:rsid w:val="65ED19B5"/>
    <w:rsid w:val="66593A9F"/>
    <w:rsid w:val="672762CB"/>
    <w:rsid w:val="67A84266"/>
    <w:rsid w:val="68FE10CA"/>
    <w:rsid w:val="69954D46"/>
    <w:rsid w:val="6A650E24"/>
    <w:rsid w:val="6AB03EB3"/>
    <w:rsid w:val="6C560643"/>
    <w:rsid w:val="6C5C4755"/>
    <w:rsid w:val="6CC47F20"/>
    <w:rsid w:val="6D6A226E"/>
    <w:rsid w:val="6D9E564E"/>
    <w:rsid w:val="6E647BAA"/>
    <w:rsid w:val="6E6C55F9"/>
    <w:rsid w:val="6E73050D"/>
    <w:rsid w:val="6ED8743F"/>
    <w:rsid w:val="6F166551"/>
    <w:rsid w:val="6F7A5B80"/>
    <w:rsid w:val="70994298"/>
    <w:rsid w:val="70A779CE"/>
    <w:rsid w:val="73653AD9"/>
    <w:rsid w:val="752B36B1"/>
    <w:rsid w:val="75D44E15"/>
    <w:rsid w:val="77BD025C"/>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cp:lastModifiedBy>
  <cp:lastPrinted>2015-01-14T18:53:00Z</cp:lastPrinted>
  <dcterms:modified xsi:type="dcterms:W3CDTF">2019-04-01T09:05:36Z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